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3" w:rsidRPr="002347A7" w:rsidRDefault="004364C3" w:rsidP="004364C3">
      <w:pPr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:rsidR="004364C3" w:rsidRPr="002347A7" w:rsidRDefault="004364C3" w:rsidP="004364C3">
      <w:pPr>
        <w:jc w:val="both"/>
        <w:rPr>
          <w:color w:val="000000"/>
        </w:rPr>
      </w:pPr>
      <w:r w:rsidRPr="002347A7">
        <w:rPr>
          <w:color w:val="000000"/>
        </w:rPr>
        <w:t xml:space="preserve">Most experiments were carried out in a glasshouse at </w:t>
      </w:r>
      <w:proofErr w:type="spellStart"/>
      <w:r w:rsidRPr="002347A7">
        <w:rPr>
          <w:color w:val="000000"/>
        </w:rPr>
        <w:t>Universiti</w:t>
      </w:r>
      <w:proofErr w:type="spellEnd"/>
      <w:r w:rsidRPr="002347A7">
        <w:rPr>
          <w:color w:val="000000"/>
        </w:rPr>
        <w:t xml:space="preserve"> Putra Malaysia, while the field survey was conducted in </w:t>
      </w:r>
      <w:proofErr w:type="spellStart"/>
      <w:r w:rsidRPr="002347A7">
        <w:rPr>
          <w:color w:val="000000"/>
        </w:rPr>
        <w:t>ricefields</w:t>
      </w:r>
      <w:proofErr w:type="spellEnd"/>
      <w:r w:rsidRPr="002347A7">
        <w:rPr>
          <w:color w:val="000000"/>
        </w:rPr>
        <w:t xml:space="preserve"> in the </w:t>
      </w:r>
      <w:proofErr w:type="spellStart"/>
      <w:r w:rsidRPr="002347A7">
        <w:rPr>
          <w:color w:val="000000"/>
        </w:rPr>
        <w:t>Muda</w:t>
      </w:r>
      <w:proofErr w:type="spellEnd"/>
      <w:r w:rsidRPr="002347A7">
        <w:rPr>
          <w:color w:val="000000"/>
        </w:rPr>
        <w:t xml:space="preserve"> area, Kedah. This study was initiated during March 2003 and ended on November 2005. The objectives of the study were to investigate the prevalence of </w:t>
      </w:r>
      <w:r w:rsidRPr="002347A7">
        <w:rPr>
          <w:i/>
          <w:color w:val="000000"/>
        </w:rPr>
        <w:t>F</w:t>
      </w:r>
      <w:r w:rsidRPr="002347A7">
        <w:rPr>
          <w:color w:val="000000"/>
        </w:rPr>
        <w:t>.</w:t>
      </w:r>
      <w:r w:rsidRPr="002347A7">
        <w:rPr>
          <w:i/>
          <w:color w:val="000000"/>
        </w:rPr>
        <w:t xml:space="preserve"> </w:t>
      </w:r>
      <w:proofErr w:type="spellStart"/>
      <w:r w:rsidRPr="002347A7">
        <w:rPr>
          <w:i/>
          <w:color w:val="000000"/>
        </w:rPr>
        <w:t>miliacea</w:t>
      </w:r>
      <w:proofErr w:type="spellEnd"/>
      <w:r w:rsidRPr="002347A7">
        <w:rPr>
          <w:color w:val="000000"/>
        </w:rPr>
        <w:t xml:space="preserve"> in </w:t>
      </w:r>
      <w:proofErr w:type="spellStart"/>
      <w:r w:rsidRPr="002347A7">
        <w:rPr>
          <w:color w:val="000000"/>
        </w:rPr>
        <w:t>ricefields</w:t>
      </w:r>
      <w:proofErr w:type="spellEnd"/>
      <w:r w:rsidRPr="002347A7">
        <w:rPr>
          <w:color w:val="000000"/>
        </w:rPr>
        <w:t xml:space="preserve"> both above ground as well as in the soil </w:t>
      </w:r>
      <w:proofErr w:type="spellStart"/>
      <w:r w:rsidRPr="002347A7">
        <w:rPr>
          <w:color w:val="000000"/>
        </w:rPr>
        <w:t>seedbank</w:t>
      </w:r>
      <w:proofErr w:type="spellEnd"/>
      <w:r w:rsidRPr="002347A7">
        <w:rPr>
          <w:color w:val="000000"/>
        </w:rPr>
        <w:t xml:space="preserve">, its emergence </w:t>
      </w:r>
      <w:proofErr w:type="spellStart"/>
      <w:r w:rsidRPr="002347A7">
        <w:rPr>
          <w:color w:val="000000"/>
        </w:rPr>
        <w:t>behaviour</w:t>
      </w:r>
      <w:proofErr w:type="spellEnd"/>
      <w:r w:rsidRPr="002347A7">
        <w:rPr>
          <w:color w:val="000000"/>
        </w:rPr>
        <w:t>, life cycle, life table, competitive abi</w:t>
      </w:r>
      <w:bookmarkStart w:id="0" w:name="_GoBack"/>
      <w:r w:rsidRPr="002347A7">
        <w:rPr>
          <w:color w:val="000000"/>
        </w:rPr>
        <w:t>l</w:t>
      </w:r>
      <w:bookmarkEnd w:id="0"/>
      <w:r w:rsidRPr="002347A7">
        <w:rPr>
          <w:color w:val="000000"/>
        </w:rPr>
        <w:t xml:space="preserve">ity with rice, and its management. </w:t>
      </w:r>
    </w:p>
    <w:p w:rsidR="004364C3" w:rsidRPr="002347A7" w:rsidRDefault="004364C3" w:rsidP="004364C3">
      <w:pPr>
        <w:jc w:val="both"/>
        <w:rPr>
          <w:color w:val="000000"/>
        </w:rPr>
      </w:pPr>
    </w:p>
    <w:p w:rsidR="004364C3" w:rsidRDefault="004364C3" w:rsidP="004364C3">
      <w:pPr>
        <w:jc w:val="both"/>
        <w:rPr>
          <w:iCs/>
          <w:color w:val="000000"/>
        </w:rPr>
      </w:pPr>
      <w:r w:rsidRPr="002347A7">
        <w:rPr>
          <w:color w:val="000000"/>
        </w:rPr>
        <w:t xml:space="preserve"> Results from field survey revealed that </w:t>
      </w:r>
      <w:r w:rsidRPr="002347A7">
        <w:rPr>
          <w:i/>
          <w:color w:val="000000"/>
        </w:rPr>
        <w:t>F</w:t>
      </w:r>
      <w:r w:rsidRPr="002347A7">
        <w:rPr>
          <w:color w:val="000000"/>
        </w:rPr>
        <w:t>.</w:t>
      </w:r>
      <w:r w:rsidRPr="002347A7">
        <w:rPr>
          <w:i/>
          <w:color w:val="000000"/>
        </w:rPr>
        <w:t xml:space="preserve"> </w:t>
      </w:r>
      <w:proofErr w:type="spellStart"/>
      <w:r w:rsidRPr="002347A7">
        <w:rPr>
          <w:i/>
          <w:color w:val="000000"/>
        </w:rPr>
        <w:t>miliacea</w:t>
      </w:r>
      <w:proofErr w:type="spellEnd"/>
      <w:r w:rsidRPr="002347A7">
        <w:rPr>
          <w:color w:val="000000"/>
        </w:rPr>
        <w:t xml:space="preserve"> was the fifth most prevalent weed out of 35 species in the </w:t>
      </w:r>
      <w:proofErr w:type="spellStart"/>
      <w:r w:rsidRPr="002347A7">
        <w:rPr>
          <w:color w:val="000000"/>
        </w:rPr>
        <w:t>Muda</w:t>
      </w:r>
      <w:proofErr w:type="spellEnd"/>
      <w:r w:rsidRPr="002347A7">
        <w:rPr>
          <w:color w:val="000000"/>
        </w:rPr>
        <w:t xml:space="preserve"> area with 46 -52% fields infested and widely distributed over the four districts of </w:t>
      </w:r>
      <w:proofErr w:type="spellStart"/>
      <w:r w:rsidRPr="002347A7">
        <w:rPr>
          <w:color w:val="000000"/>
        </w:rPr>
        <w:t>Muda</w:t>
      </w:r>
      <w:proofErr w:type="spellEnd"/>
      <w:r w:rsidRPr="002347A7">
        <w:rPr>
          <w:color w:val="000000"/>
        </w:rPr>
        <w:t xml:space="preserve"> with infestation rating scores from traces – 30% weed coverage. Out</w:t>
      </w:r>
      <w:r w:rsidRPr="002347A7">
        <w:rPr>
          <w:iCs/>
          <w:color w:val="000000"/>
        </w:rPr>
        <w:t xml:space="preserve"> of 20 weed species identified in </w:t>
      </w:r>
      <w:r w:rsidRPr="002347A7">
        <w:rPr>
          <w:color w:val="000000"/>
        </w:rPr>
        <w:t xml:space="preserve">the soil </w:t>
      </w:r>
      <w:proofErr w:type="spellStart"/>
      <w:r w:rsidRPr="002347A7">
        <w:rPr>
          <w:color w:val="000000"/>
        </w:rPr>
        <w:t>seedbank</w:t>
      </w:r>
      <w:proofErr w:type="spellEnd"/>
      <w:r w:rsidRPr="002347A7">
        <w:rPr>
          <w:color w:val="000000"/>
        </w:rPr>
        <w:t>,</w:t>
      </w:r>
      <w:r w:rsidRPr="002347A7">
        <w:rPr>
          <w:iCs/>
          <w:color w:val="000000"/>
        </w:rPr>
        <w:t xml:space="preserve"> </w:t>
      </w:r>
      <w:r w:rsidRPr="002347A7">
        <w:rPr>
          <w:i/>
          <w:iCs/>
          <w:color w:val="000000"/>
        </w:rPr>
        <w:t>F</w:t>
      </w:r>
      <w:r w:rsidRPr="002347A7">
        <w:rPr>
          <w:iCs/>
          <w:color w:val="000000"/>
        </w:rPr>
        <w:t>.</w:t>
      </w:r>
      <w:r w:rsidRPr="002347A7">
        <w:rPr>
          <w:i/>
          <w:iCs/>
          <w:color w:val="000000"/>
        </w:rPr>
        <w:t xml:space="preserve"> </w:t>
      </w:r>
      <w:proofErr w:type="spellStart"/>
      <w:r w:rsidRPr="002347A7">
        <w:rPr>
          <w:i/>
          <w:iCs/>
          <w:color w:val="000000"/>
        </w:rPr>
        <w:t>miliacea</w:t>
      </w:r>
      <w:proofErr w:type="spellEnd"/>
      <w:r w:rsidRPr="002347A7">
        <w:rPr>
          <w:iCs/>
          <w:color w:val="000000"/>
        </w:rPr>
        <w:t xml:space="preserve"> was the most abundant with 66.07% of total seed reserve (equivalent to 750.84 million seeds/ha), of which 55% emerged in soils incubated in trays (411.48 million seedlings/ha), 8% germinated in incubation tests in </w:t>
      </w:r>
      <w:proofErr w:type="spellStart"/>
      <w:r w:rsidRPr="002347A7">
        <w:rPr>
          <w:iCs/>
          <w:color w:val="000000"/>
        </w:rPr>
        <w:t>petridishes</w:t>
      </w:r>
      <w:proofErr w:type="spellEnd"/>
      <w:r w:rsidRPr="002347A7">
        <w:rPr>
          <w:iCs/>
          <w:color w:val="000000"/>
        </w:rPr>
        <w:t xml:space="preserve"> (61.59 million seedlings/ha), while 37% or the equivalent of 277.77 million seeds/ha remained dormant or dead. </w:t>
      </w:r>
    </w:p>
    <w:p w:rsidR="004364C3" w:rsidRPr="002347A7" w:rsidRDefault="004364C3" w:rsidP="004364C3">
      <w:pPr>
        <w:jc w:val="both"/>
        <w:rPr>
          <w:iCs/>
          <w:color w:val="000000"/>
        </w:rPr>
      </w:pPr>
    </w:p>
    <w:p w:rsidR="004364C3" w:rsidRPr="002347A7" w:rsidRDefault="004364C3" w:rsidP="004364C3">
      <w:pPr>
        <w:pStyle w:val="BodyText3"/>
        <w:spacing w:after="0"/>
        <w:jc w:val="both"/>
        <w:rPr>
          <w:bCs/>
          <w:color w:val="000000"/>
          <w:sz w:val="24"/>
          <w:szCs w:val="24"/>
        </w:rPr>
      </w:pPr>
      <w:proofErr w:type="spellStart"/>
      <w:r w:rsidRPr="002347A7">
        <w:rPr>
          <w:i/>
          <w:color w:val="000000"/>
          <w:sz w:val="24"/>
        </w:rPr>
        <w:t>Fimbristylis</w:t>
      </w:r>
      <w:proofErr w:type="spellEnd"/>
      <w:r w:rsidRPr="002347A7">
        <w:rPr>
          <w:i/>
          <w:color w:val="000000"/>
          <w:sz w:val="24"/>
        </w:rPr>
        <w:t xml:space="preserve"> </w:t>
      </w:r>
      <w:proofErr w:type="spellStart"/>
      <w:r w:rsidRPr="002347A7">
        <w:rPr>
          <w:i/>
          <w:color w:val="000000"/>
          <w:sz w:val="24"/>
        </w:rPr>
        <w:t>miliacea</w:t>
      </w:r>
      <w:proofErr w:type="spellEnd"/>
      <w:r w:rsidRPr="002347A7">
        <w:rPr>
          <w:color w:val="000000"/>
          <w:sz w:val="24"/>
        </w:rPr>
        <w:t xml:space="preserve"> exhibited high emergence (44.38%) from surface seeding. Seeds sown at 0.5 cm depth had significantly reduced emergence (13%) and no seedlings emerged from 1.0 cm soil depth. For</w:t>
      </w:r>
      <w:r w:rsidRPr="002347A7">
        <w:rPr>
          <w:bCs/>
          <w:color w:val="000000"/>
          <w:sz w:val="24"/>
        </w:rPr>
        <w:t xml:space="preserve"> flooding durations of 7, 14 and 21 days, per cent emergence and dry matter production were higher under saturated conditions than at 5 and 10 cm flooding depths. </w:t>
      </w:r>
      <w:r w:rsidRPr="002347A7">
        <w:rPr>
          <w:bCs/>
          <w:color w:val="000000"/>
          <w:sz w:val="24"/>
          <w:szCs w:val="24"/>
        </w:rPr>
        <w:t xml:space="preserve">A flooding duration of 14 days </w:t>
      </w:r>
      <w:r>
        <w:rPr>
          <w:bCs/>
          <w:color w:val="000000"/>
          <w:sz w:val="24"/>
          <w:szCs w:val="24"/>
        </w:rPr>
        <w:t xml:space="preserve">or more </w:t>
      </w:r>
      <w:r w:rsidRPr="002347A7">
        <w:rPr>
          <w:bCs/>
          <w:color w:val="000000"/>
          <w:sz w:val="24"/>
          <w:szCs w:val="24"/>
        </w:rPr>
        <w:t xml:space="preserve">and </w:t>
      </w:r>
      <w:r>
        <w:rPr>
          <w:bCs/>
          <w:color w:val="000000"/>
          <w:sz w:val="24"/>
          <w:szCs w:val="24"/>
        </w:rPr>
        <w:t xml:space="preserve">in </w:t>
      </w:r>
      <w:r w:rsidRPr="002347A7">
        <w:rPr>
          <w:bCs/>
          <w:color w:val="000000"/>
          <w:sz w:val="24"/>
          <w:szCs w:val="24"/>
        </w:rPr>
        <w:t xml:space="preserve">flooding depth </w:t>
      </w:r>
      <w:r>
        <w:rPr>
          <w:bCs/>
          <w:color w:val="000000"/>
          <w:sz w:val="24"/>
          <w:szCs w:val="24"/>
        </w:rPr>
        <w:t xml:space="preserve">up to 10 cm </w:t>
      </w:r>
      <w:r w:rsidRPr="002347A7">
        <w:rPr>
          <w:bCs/>
          <w:color w:val="000000"/>
          <w:sz w:val="24"/>
          <w:szCs w:val="24"/>
        </w:rPr>
        <w:t xml:space="preserve">showed a clear trend in reduced emergence </w:t>
      </w:r>
      <w:r w:rsidRPr="002347A7">
        <w:rPr>
          <w:bCs/>
          <w:color w:val="000000"/>
          <w:sz w:val="24"/>
        </w:rPr>
        <w:t>and dry matter production</w:t>
      </w:r>
      <w:r>
        <w:rPr>
          <w:bCs/>
          <w:color w:val="000000"/>
          <w:sz w:val="24"/>
        </w:rPr>
        <w:t xml:space="preserve"> of </w:t>
      </w:r>
      <w:proofErr w:type="spellStart"/>
      <w:r w:rsidRPr="002347A7">
        <w:rPr>
          <w:i/>
          <w:color w:val="000000"/>
          <w:sz w:val="24"/>
        </w:rPr>
        <w:t>Fimbristylis</w:t>
      </w:r>
      <w:proofErr w:type="spellEnd"/>
      <w:r w:rsidRPr="002347A7">
        <w:rPr>
          <w:i/>
          <w:color w:val="000000"/>
          <w:sz w:val="24"/>
        </w:rPr>
        <w:t xml:space="preserve"> </w:t>
      </w:r>
      <w:proofErr w:type="spellStart"/>
      <w:r w:rsidRPr="002347A7">
        <w:rPr>
          <w:i/>
          <w:color w:val="000000"/>
          <w:sz w:val="24"/>
        </w:rPr>
        <w:t>miliacea</w:t>
      </w:r>
      <w:proofErr w:type="spellEnd"/>
      <w:r w:rsidRPr="002347A7">
        <w:rPr>
          <w:bCs/>
          <w:color w:val="000000"/>
          <w:sz w:val="24"/>
          <w:szCs w:val="24"/>
        </w:rPr>
        <w:t>.</w:t>
      </w:r>
    </w:p>
    <w:p w:rsidR="004364C3" w:rsidRPr="002347A7" w:rsidRDefault="004364C3" w:rsidP="004364C3">
      <w:pPr>
        <w:pStyle w:val="BodyText3"/>
        <w:spacing w:after="0"/>
        <w:jc w:val="both"/>
        <w:rPr>
          <w:bCs/>
          <w:color w:val="000000"/>
          <w:sz w:val="24"/>
          <w:szCs w:val="24"/>
        </w:rPr>
      </w:pPr>
    </w:p>
    <w:p w:rsidR="004364C3" w:rsidRPr="002347A7" w:rsidRDefault="004364C3" w:rsidP="004364C3">
      <w:pPr>
        <w:jc w:val="both"/>
        <w:rPr>
          <w:color w:val="000000"/>
        </w:rPr>
      </w:pPr>
      <w:r w:rsidRPr="002347A7">
        <w:rPr>
          <w:color w:val="000000"/>
        </w:rPr>
        <w:t xml:space="preserve">During the cropping season (4 month period) each </w:t>
      </w:r>
      <w:r w:rsidRPr="002347A7">
        <w:rPr>
          <w:i/>
          <w:color w:val="000000"/>
        </w:rPr>
        <w:t>F</w:t>
      </w:r>
      <w:r w:rsidRPr="002347A7">
        <w:rPr>
          <w:color w:val="000000"/>
        </w:rPr>
        <w:t>.</w:t>
      </w:r>
      <w:r w:rsidRPr="002347A7">
        <w:rPr>
          <w:i/>
          <w:color w:val="000000"/>
        </w:rPr>
        <w:t xml:space="preserve"> </w:t>
      </w:r>
      <w:proofErr w:type="spellStart"/>
      <w:r w:rsidRPr="002347A7">
        <w:rPr>
          <w:i/>
          <w:color w:val="000000"/>
        </w:rPr>
        <w:t>miliacea</w:t>
      </w:r>
      <w:proofErr w:type="spellEnd"/>
      <w:r w:rsidRPr="002347A7">
        <w:rPr>
          <w:color w:val="000000"/>
        </w:rPr>
        <w:t xml:space="preserve"> plant produced on average </w:t>
      </w:r>
      <w:proofErr w:type="gramStart"/>
      <w:r w:rsidRPr="002347A7">
        <w:rPr>
          <w:color w:val="000000"/>
        </w:rPr>
        <w:t>of 2.3 tillers/plant</w:t>
      </w:r>
      <w:proofErr w:type="gramEnd"/>
      <w:r w:rsidRPr="002347A7">
        <w:rPr>
          <w:color w:val="000000"/>
        </w:rPr>
        <w:t xml:space="preserve"> and a total of 134 inflorescences, with 84 inflorescences/plant ripening within this period. Each inflorescence comprised of 48 </w:t>
      </w:r>
      <w:proofErr w:type="spellStart"/>
      <w:r w:rsidRPr="002347A7">
        <w:rPr>
          <w:color w:val="000000"/>
        </w:rPr>
        <w:t>spikelets</w:t>
      </w:r>
      <w:proofErr w:type="spellEnd"/>
      <w:r w:rsidRPr="002347A7">
        <w:rPr>
          <w:color w:val="000000"/>
        </w:rPr>
        <w:t xml:space="preserve"> with 511 seeds and matured after 3 weeks of emergence. Total seeds/plant and 1000 seed weight were 42,275 and 0.035 g, respectively. Time required for seed ripening was 76 days after emergence. This species had three important growth stages: a slow growth stage during the first 4 week after emergence (WAE); a rapid growth stage from 4-9 WAE; and finally, a maximum growth stage from 9-17 WAE. The life table study showed that plants establishing from every 100 seeds of </w:t>
      </w:r>
      <w:r w:rsidRPr="002347A7">
        <w:rPr>
          <w:i/>
          <w:color w:val="000000"/>
        </w:rPr>
        <w:t>F</w:t>
      </w:r>
      <w:r w:rsidRPr="002347A7">
        <w:rPr>
          <w:color w:val="000000"/>
        </w:rPr>
        <w:t>.</w:t>
      </w:r>
      <w:r w:rsidRPr="002347A7">
        <w:rPr>
          <w:i/>
          <w:color w:val="000000"/>
        </w:rPr>
        <w:t xml:space="preserve"> </w:t>
      </w:r>
      <w:proofErr w:type="spellStart"/>
      <w:r w:rsidRPr="002347A7">
        <w:rPr>
          <w:i/>
          <w:color w:val="000000"/>
        </w:rPr>
        <w:t>miliacea</w:t>
      </w:r>
      <w:proofErr w:type="spellEnd"/>
      <w:r w:rsidRPr="002347A7">
        <w:rPr>
          <w:color w:val="000000"/>
        </w:rPr>
        <w:t xml:space="preserve"> plants can reproduce 287,722 seeds with nitrogen treatment, which was 1.66 fold greater than without nitrogen. High death rates in </w:t>
      </w:r>
      <w:r w:rsidRPr="002347A7">
        <w:rPr>
          <w:i/>
          <w:color w:val="000000"/>
        </w:rPr>
        <w:t>F</w:t>
      </w:r>
      <w:r w:rsidRPr="002347A7">
        <w:rPr>
          <w:color w:val="000000"/>
        </w:rPr>
        <w:t>.</w:t>
      </w:r>
      <w:r w:rsidRPr="002347A7">
        <w:rPr>
          <w:i/>
          <w:color w:val="000000"/>
        </w:rPr>
        <w:t xml:space="preserve"> </w:t>
      </w:r>
      <w:proofErr w:type="spellStart"/>
      <w:r w:rsidRPr="002347A7">
        <w:rPr>
          <w:i/>
          <w:color w:val="000000"/>
        </w:rPr>
        <w:t>miliacea</w:t>
      </w:r>
      <w:proofErr w:type="spellEnd"/>
      <w:r w:rsidRPr="002347A7">
        <w:rPr>
          <w:color w:val="000000"/>
        </w:rPr>
        <w:t xml:space="preserve"> among young seedlings indicated a </w:t>
      </w:r>
      <w:proofErr w:type="spellStart"/>
      <w:r w:rsidRPr="002347A7">
        <w:rPr>
          <w:color w:val="000000"/>
        </w:rPr>
        <w:t>Deevey</w:t>
      </w:r>
      <w:proofErr w:type="spellEnd"/>
      <w:r w:rsidRPr="002347A7">
        <w:rPr>
          <w:color w:val="000000"/>
        </w:rPr>
        <w:t xml:space="preserve"> Type III survivorship curve. Early emerging cohorts had greater survivorship and contributed most extensively to the next generation by producing more than 90% seeds.</w:t>
      </w:r>
    </w:p>
    <w:p w:rsidR="004364C3" w:rsidRPr="002347A7" w:rsidRDefault="004364C3" w:rsidP="004364C3">
      <w:pPr>
        <w:jc w:val="both"/>
        <w:rPr>
          <w:color w:val="000000"/>
        </w:rPr>
      </w:pPr>
    </w:p>
    <w:p w:rsidR="004364C3" w:rsidRPr="002347A7" w:rsidRDefault="004364C3" w:rsidP="004364C3">
      <w:pPr>
        <w:jc w:val="both"/>
        <w:rPr>
          <w:color w:val="000000"/>
        </w:rPr>
      </w:pPr>
      <w:r w:rsidRPr="002347A7">
        <w:rPr>
          <w:color w:val="000000"/>
        </w:rPr>
        <w:t xml:space="preserve">The interaction between weed density and nitrogen (N) fertilization had a pronounced influence on rice yield. At low weed densities </w:t>
      </w:r>
      <w:proofErr w:type="gramStart"/>
      <w:r w:rsidRPr="002347A7">
        <w:rPr>
          <w:color w:val="000000"/>
        </w:rPr>
        <w:t>of up to 500 plants/m</w:t>
      </w:r>
      <w:r w:rsidRPr="002347A7">
        <w:rPr>
          <w:color w:val="000000"/>
          <w:vertAlign w:val="superscript"/>
        </w:rPr>
        <w:t>2</w:t>
      </w:r>
      <w:r w:rsidRPr="002347A7">
        <w:rPr>
          <w:color w:val="000000"/>
        </w:rPr>
        <w:t>,</w:t>
      </w:r>
      <w:proofErr w:type="gramEnd"/>
      <w:r w:rsidRPr="002347A7">
        <w:rPr>
          <w:color w:val="000000"/>
        </w:rPr>
        <w:t xml:space="preserve"> rice yields increased with higher N fertilization. On the other hand, at the higher weed density of 1000 plants/m</w:t>
      </w:r>
      <w:r w:rsidRPr="002347A7">
        <w:rPr>
          <w:color w:val="000000"/>
          <w:vertAlign w:val="superscript"/>
        </w:rPr>
        <w:t>2</w:t>
      </w:r>
      <w:r w:rsidRPr="002347A7">
        <w:rPr>
          <w:color w:val="000000"/>
        </w:rPr>
        <w:t xml:space="preserve">, increasing N fertilization to 170 kg/ha had no </w:t>
      </w:r>
      <w:r>
        <w:rPr>
          <w:color w:val="000000"/>
        </w:rPr>
        <w:t xml:space="preserve">significant </w:t>
      </w:r>
      <w:r w:rsidRPr="002347A7">
        <w:rPr>
          <w:color w:val="000000"/>
        </w:rPr>
        <w:t xml:space="preserve">effect on yield. However, rice yield at this level of N fertilization with the lowest weed density </w:t>
      </w:r>
      <w:proofErr w:type="gramStart"/>
      <w:r w:rsidRPr="002347A7">
        <w:rPr>
          <w:color w:val="000000"/>
        </w:rPr>
        <w:t>of 250 plants/m</w:t>
      </w:r>
      <w:r w:rsidRPr="002347A7">
        <w:rPr>
          <w:color w:val="000000"/>
          <w:vertAlign w:val="superscript"/>
        </w:rPr>
        <w:t>2</w:t>
      </w:r>
      <w:proofErr w:type="gramEnd"/>
      <w:r w:rsidRPr="002347A7">
        <w:rPr>
          <w:color w:val="000000"/>
        </w:rPr>
        <w:t xml:space="preserve">, was similar to the weed-free treatment. </w:t>
      </w:r>
      <w:r>
        <w:rPr>
          <w:color w:val="000000"/>
        </w:rPr>
        <w:t>B</w:t>
      </w:r>
      <w:r w:rsidRPr="002347A7">
        <w:rPr>
          <w:color w:val="000000"/>
        </w:rPr>
        <w:t xml:space="preserve">ased on the predicted Logistic and </w:t>
      </w:r>
      <w:proofErr w:type="spellStart"/>
      <w:r w:rsidRPr="002347A7">
        <w:rPr>
          <w:color w:val="000000"/>
        </w:rPr>
        <w:t>Gompertz</w:t>
      </w:r>
      <w:proofErr w:type="spellEnd"/>
      <w:r w:rsidRPr="002347A7">
        <w:rPr>
          <w:color w:val="000000"/>
        </w:rPr>
        <w:t xml:space="preserve"> response curves the critical period for controlling</w:t>
      </w:r>
      <w:r>
        <w:rPr>
          <w:color w:val="000000"/>
        </w:rPr>
        <w:t xml:space="preserve"> </w:t>
      </w:r>
      <w:r w:rsidRPr="002347A7">
        <w:rPr>
          <w:i/>
          <w:color w:val="000000"/>
        </w:rPr>
        <w:t>F</w:t>
      </w:r>
      <w:r w:rsidRPr="002347A7">
        <w:rPr>
          <w:color w:val="000000"/>
        </w:rPr>
        <w:t>.</w:t>
      </w:r>
      <w:r w:rsidRPr="002347A7">
        <w:rPr>
          <w:i/>
          <w:color w:val="000000"/>
        </w:rPr>
        <w:t xml:space="preserve"> </w:t>
      </w:r>
      <w:proofErr w:type="spellStart"/>
      <w:r w:rsidRPr="002347A7">
        <w:rPr>
          <w:i/>
          <w:color w:val="000000"/>
        </w:rPr>
        <w:t>miliacea</w:t>
      </w:r>
      <w:proofErr w:type="spellEnd"/>
      <w:r w:rsidRPr="002347A7">
        <w:rPr>
          <w:color w:val="000000"/>
        </w:rPr>
        <w:t xml:space="preserve"> in direct-seeded rice was between 14 – 28 days after sowing.</w:t>
      </w:r>
    </w:p>
    <w:p w:rsidR="004364C3" w:rsidRPr="002347A7" w:rsidRDefault="004364C3" w:rsidP="004364C3">
      <w:pPr>
        <w:jc w:val="both"/>
        <w:rPr>
          <w:color w:val="000000"/>
        </w:rPr>
      </w:pPr>
    </w:p>
    <w:p w:rsidR="004364C3" w:rsidRPr="002347A7" w:rsidRDefault="004364C3" w:rsidP="004364C3">
      <w:pPr>
        <w:pStyle w:val="BodyText2"/>
        <w:spacing w:after="0" w:line="240" w:lineRule="auto"/>
        <w:jc w:val="both"/>
        <w:rPr>
          <w:color w:val="000000"/>
        </w:rPr>
      </w:pPr>
      <w:r w:rsidRPr="002347A7">
        <w:rPr>
          <w:color w:val="000000"/>
        </w:rPr>
        <w:t xml:space="preserve">Flooding and use of herbicides are two important weed control methods in direct-seeded rice. Flooding had a major suppressive effect on stand establishment and growth of </w:t>
      </w:r>
      <w:r w:rsidRPr="002347A7">
        <w:rPr>
          <w:i/>
          <w:iCs/>
          <w:color w:val="000000"/>
        </w:rPr>
        <w:t>F</w:t>
      </w:r>
      <w:r w:rsidRPr="002347A7">
        <w:rPr>
          <w:iCs/>
          <w:color w:val="000000"/>
        </w:rPr>
        <w:t>.</w:t>
      </w:r>
      <w:r w:rsidRPr="002347A7">
        <w:rPr>
          <w:i/>
          <w:iCs/>
          <w:color w:val="000000"/>
        </w:rPr>
        <w:t xml:space="preserve"> </w:t>
      </w:r>
      <w:proofErr w:type="spellStart"/>
      <w:r w:rsidRPr="002347A7">
        <w:rPr>
          <w:i/>
          <w:iCs/>
          <w:color w:val="000000"/>
        </w:rPr>
        <w:t>miliacea</w:t>
      </w:r>
      <w:proofErr w:type="spellEnd"/>
      <w:r w:rsidRPr="002347A7">
        <w:rPr>
          <w:iCs/>
          <w:color w:val="000000"/>
        </w:rPr>
        <w:t>,</w:t>
      </w:r>
      <w:r w:rsidRPr="002347A7">
        <w:rPr>
          <w:color w:val="000000"/>
        </w:rPr>
        <w:t xml:space="preserve"> </w:t>
      </w:r>
      <w:r w:rsidRPr="002347A7">
        <w:rPr>
          <w:color w:val="000000"/>
        </w:rPr>
        <w:lastRenderedPageBreak/>
        <w:t xml:space="preserve">especially during the early growth stages (7 and 14 DAS). Delayed flooding at 21 and 28 DAS required a 10 cm flooding depth for effective control. All tested herbicides were effective in controlling </w:t>
      </w:r>
      <w:r w:rsidRPr="002347A7">
        <w:rPr>
          <w:i/>
          <w:color w:val="000000"/>
        </w:rPr>
        <w:t>F</w:t>
      </w:r>
      <w:r w:rsidRPr="002347A7">
        <w:rPr>
          <w:color w:val="000000"/>
        </w:rPr>
        <w:t>.</w:t>
      </w:r>
      <w:r w:rsidRPr="002347A7">
        <w:rPr>
          <w:i/>
          <w:color w:val="000000"/>
        </w:rPr>
        <w:t xml:space="preserve"> </w:t>
      </w:r>
      <w:proofErr w:type="spellStart"/>
      <w:r w:rsidRPr="002347A7">
        <w:rPr>
          <w:i/>
          <w:color w:val="000000"/>
        </w:rPr>
        <w:t>miliacea</w:t>
      </w:r>
      <w:proofErr w:type="spellEnd"/>
      <w:r w:rsidRPr="002347A7">
        <w:rPr>
          <w:color w:val="000000"/>
        </w:rPr>
        <w:t xml:space="preserve">, but the herbicides </w:t>
      </w:r>
      <w:proofErr w:type="spellStart"/>
      <w:r w:rsidRPr="002347A7">
        <w:rPr>
          <w:color w:val="000000"/>
        </w:rPr>
        <w:t>bensulfuron</w:t>
      </w:r>
      <w:proofErr w:type="spellEnd"/>
      <w:r w:rsidRPr="002347A7">
        <w:rPr>
          <w:color w:val="000000"/>
        </w:rPr>
        <w:t xml:space="preserve"> and </w:t>
      </w:r>
      <w:proofErr w:type="spellStart"/>
      <w:r w:rsidRPr="002347A7">
        <w:rPr>
          <w:color w:val="000000"/>
        </w:rPr>
        <w:t>fentrazamide</w:t>
      </w:r>
      <w:proofErr w:type="spellEnd"/>
      <w:r w:rsidRPr="002347A7">
        <w:rPr>
          <w:color w:val="000000"/>
        </w:rPr>
        <w:t xml:space="preserve"> increased grain yield by more than 80% compared to the </w:t>
      </w:r>
      <w:proofErr w:type="spellStart"/>
      <w:r w:rsidRPr="002347A7">
        <w:rPr>
          <w:color w:val="000000"/>
        </w:rPr>
        <w:t>unweeded</w:t>
      </w:r>
      <w:proofErr w:type="spellEnd"/>
      <w:r w:rsidRPr="002347A7">
        <w:rPr>
          <w:color w:val="000000"/>
        </w:rPr>
        <w:t xml:space="preserve"> treatment  and were comparable to the weed-free (hand-weeded) treatment.</w:t>
      </w:r>
    </w:p>
    <w:p w:rsidR="001C163B" w:rsidRDefault="001C163B" w:rsidP="004364C3"/>
    <w:sectPr w:rsidR="001C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C3"/>
    <w:rsid w:val="001C163B"/>
    <w:rsid w:val="004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C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364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64C3"/>
    <w:rPr>
      <w:rFonts w:ascii="Times New Roman" w:eastAsia="SimSu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4364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64C3"/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C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364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64C3"/>
    <w:rPr>
      <w:rFonts w:ascii="Times New Roman" w:eastAsia="SimSu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4364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64C3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2015-09-29T10:34:00Z</dcterms:created>
  <dcterms:modified xsi:type="dcterms:W3CDTF">2015-09-29T10:35:00Z</dcterms:modified>
</cp:coreProperties>
</file>